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2EE1" w14:textId="5AB5D2A7" w:rsidR="00892B61" w:rsidRDefault="002E6C1E" w:rsidP="002E6C1E">
      <w:pPr>
        <w:jc w:val="center"/>
      </w:pPr>
      <w:r>
        <w:rPr>
          <w:rFonts w:ascii="Times New Roman"/>
          <w:noProof/>
        </w:rPr>
        <w:drawing>
          <wp:inline distT="0" distB="0" distL="0" distR="0" wp14:anchorId="7308C6E1" wp14:editId="32C290D0">
            <wp:extent cx="2674624" cy="4259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24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3E1B6" w14:textId="3D2789C8" w:rsidR="00762674" w:rsidRDefault="002E6C1E" w:rsidP="00762674">
      <w:pPr>
        <w:jc w:val="center"/>
        <w:rPr>
          <w:b/>
          <w:bCs/>
          <w:color w:val="FFAA00"/>
          <w:sz w:val="24"/>
          <w:szCs w:val="24"/>
        </w:rPr>
      </w:pPr>
      <w:r w:rsidRPr="002E6C1E">
        <w:rPr>
          <w:b/>
          <w:bCs/>
          <w:color w:val="FFAA00"/>
          <w:sz w:val="24"/>
          <w:szCs w:val="24"/>
        </w:rPr>
        <w:t>Disclosure</w:t>
      </w:r>
      <w:r w:rsidRPr="002E6C1E">
        <w:rPr>
          <w:b/>
          <w:bCs/>
          <w:color w:val="FFAA00"/>
          <w:spacing w:val="-2"/>
          <w:sz w:val="24"/>
          <w:szCs w:val="24"/>
        </w:rPr>
        <w:t xml:space="preserve"> </w:t>
      </w:r>
      <w:r w:rsidRPr="002E6C1E">
        <w:rPr>
          <w:b/>
          <w:bCs/>
          <w:color w:val="FFAA00"/>
          <w:sz w:val="24"/>
          <w:szCs w:val="24"/>
        </w:rPr>
        <w:t>of</w:t>
      </w:r>
      <w:r w:rsidRPr="002E6C1E">
        <w:rPr>
          <w:b/>
          <w:bCs/>
          <w:color w:val="FFAA00"/>
          <w:spacing w:val="-3"/>
          <w:sz w:val="24"/>
          <w:szCs w:val="24"/>
        </w:rPr>
        <w:t xml:space="preserve"> </w:t>
      </w:r>
      <w:r w:rsidRPr="002E6C1E">
        <w:rPr>
          <w:b/>
          <w:bCs/>
          <w:color w:val="FFAA00"/>
          <w:sz w:val="24"/>
          <w:szCs w:val="24"/>
        </w:rPr>
        <w:t>Relevant</w:t>
      </w:r>
      <w:r w:rsidRPr="002E6C1E">
        <w:rPr>
          <w:b/>
          <w:bCs/>
          <w:color w:val="FFAA00"/>
          <w:spacing w:val="-1"/>
          <w:sz w:val="24"/>
          <w:szCs w:val="24"/>
        </w:rPr>
        <w:t xml:space="preserve"> </w:t>
      </w:r>
      <w:r w:rsidRPr="002E6C1E">
        <w:rPr>
          <w:b/>
          <w:bCs/>
          <w:color w:val="FFAA00"/>
          <w:sz w:val="24"/>
          <w:szCs w:val="24"/>
        </w:rPr>
        <w:t>Financial</w:t>
      </w:r>
      <w:r w:rsidRPr="002E6C1E">
        <w:rPr>
          <w:b/>
          <w:bCs/>
          <w:color w:val="FFAA00"/>
          <w:spacing w:val="-3"/>
          <w:sz w:val="24"/>
          <w:szCs w:val="24"/>
        </w:rPr>
        <w:t xml:space="preserve"> </w:t>
      </w:r>
      <w:r w:rsidRPr="002E6C1E">
        <w:rPr>
          <w:b/>
          <w:bCs/>
          <w:color w:val="FFAA00"/>
          <w:sz w:val="24"/>
          <w:szCs w:val="24"/>
        </w:rPr>
        <w:t>Relationships</w:t>
      </w:r>
    </w:p>
    <w:p w14:paraId="30DD9D91" w14:textId="77777777" w:rsidR="00A97870" w:rsidRDefault="00A97870" w:rsidP="00762674">
      <w:pPr>
        <w:jc w:val="center"/>
        <w:rPr>
          <w:b/>
          <w:bCs/>
          <w:color w:val="FFAA00"/>
          <w:sz w:val="24"/>
          <w:szCs w:val="24"/>
        </w:rPr>
      </w:pPr>
    </w:p>
    <w:p w14:paraId="5E0ECFCC" w14:textId="327DB658" w:rsidR="007343D5" w:rsidRPr="002E6C1E" w:rsidRDefault="007343D5" w:rsidP="007343D5">
      <w:pPr>
        <w:rPr>
          <w:sz w:val="20"/>
          <w:szCs w:val="20"/>
        </w:rPr>
      </w:pPr>
      <w:r w:rsidRPr="002E6C1E">
        <w:rPr>
          <w:sz w:val="20"/>
          <w:szCs w:val="20"/>
        </w:rPr>
        <w:t>Title of Continuing Education: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5319785"/>
          <w:placeholder>
            <w:docPart w:val="FB2AEDC558794A4DAFAC66DBAD808408"/>
          </w:placeholder>
        </w:sdtPr>
        <w:sdtEndPr/>
        <w:sdtContent>
          <w:r w:rsidR="00804E10" w:rsidRPr="00804E10">
            <w:rPr>
              <w:sz w:val="20"/>
              <w:szCs w:val="20"/>
            </w:rPr>
            <w:t>International Center for Colorectal and Urogenital Care - Transition of Care Conference</w:t>
          </w:r>
        </w:sdtContent>
      </w:sdt>
    </w:p>
    <w:p w14:paraId="276909A3" w14:textId="18715074" w:rsidR="007343D5" w:rsidRPr="002E6C1E" w:rsidRDefault="007343D5" w:rsidP="007343D5">
      <w:pPr>
        <w:rPr>
          <w:sz w:val="20"/>
          <w:szCs w:val="20"/>
        </w:rPr>
      </w:pPr>
      <w:r w:rsidRPr="002E6C1E">
        <w:rPr>
          <w:sz w:val="20"/>
          <w:szCs w:val="20"/>
        </w:rPr>
        <w:t>Date and Location: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587287"/>
          <w:placeholder>
            <w:docPart w:val="FB2AEDC558794A4DAFAC66DBAD808408"/>
          </w:placeholder>
        </w:sdtPr>
        <w:sdtEndPr/>
        <w:sdtContent>
          <w:r w:rsidR="00804E10">
            <w:rPr>
              <w:sz w:val="20"/>
              <w:szCs w:val="20"/>
            </w:rPr>
            <w:t>June 16-17, 2022 – Aurora, CO – hosted virtually</w:t>
          </w:r>
        </w:sdtContent>
      </w:sdt>
    </w:p>
    <w:p w14:paraId="505B54AD" w14:textId="77777777" w:rsidR="009034C3" w:rsidRDefault="009034C3" w:rsidP="006C6515">
      <w:pPr>
        <w:rPr>
          <w:sz w:val="20"/>
          <w:szCs w:val="20"/>
        </w:rPr>
      </w:pPr>
    </w:p>
    <w:p w14:paraId="2D9EC90A" w14:textId="6D9BAE1A" w:rsidR="006C6515" w:rsidRPr="006C6515" w:rsidRDefault="006C6515" w:rsidP="006C6515">
      <w:pPr>
        <w:rPr>
          <w:sz w:val="20"/>
          <w:szCs w:val="20"/>
        </w:rPr>
      </w:pPr>
      <w:r w:rsidRPr="006C6515">
        <w:rPr>
          <w:sz w:val="20"/>
          <w:szCs w:val="20"/>
        </w:rPr>
        <w:t xml:space="preserve">As a provider of continuing medical education (CME) by the Accreditation Council for Continuing Medical Education and nursing continuing professional development (NCPD) by Colorado Nurses Association, Children's Hospital Colorado ensures balance, independence, </w:t>
      </w:r>
      <w:proofErr w:type="gramStart"/>
      <w:r w:rsidRPr="006C6515">
        <w:rPr>
          <w:sz w:val="20"/>
          <w:szCs w:val="20"/>
        </w:rPr>
        <w:t>objectivity</w:t>
      </w:r>
      <w:proofErr w:type="gramEnd"/>
      <w:r w:rsidRPr="006C6515">
        <w:rPr>
          <w:sz w:val="20"/>
          <w:szCs w:val="20"/>
        </w:rPr>
        <w:t xml:space="preserve"> and scientific rigor in all its CME/NCPD activities. </w:t>
      </w:r>
    </w:p>
    <w:p w14:paraId="07A15C79" w14:textId="06632113" w:rsidR="006C6515" w:rsidRPr="006C6515" w:rsidRDefault="006C6515" w:rsidP="006C6515">
      <w:pPr>
        <w:rPr>
          <w:sz w:val="20"/>
          <w:szCs w:val="20"/>
        </w:rPr>
      </w:pPr>
      <w:r w:rsidRPr="006C6515">
        <w:rPr>
          <w:sz w:val="20"/>
          <w:szCs w:val="20"/>
        </w:rPr>
        <w:t xml:space="preserve">To comply with CME and NCPD accreditation guidelines, each planner, faculty, content expert and content reviewer in a position to control content of this educational activity </w:t>
      </w:r>
      <w:r>
        <w:rPr>
          <w:sz w:val="20"/>
          <w:szCs w:val="20"/>
        </w:rPr>
        <w:t>are</w:t>
      </w:r>
      <w:r w:rsidRPr="006C6515">
        <w:rPr>
          <w:sz w:val="20"/>
          <w:szCs w:val="20"/>
        </w:rPr>
        <w:t xml:space="preserve"> required to disclose </w:t>
      </w:r>
      <w:r>
        <w:rPr>
          <w:sz w:val="20"/>
          <w:szCs w:val="20"/>
        </w:rPr>
        <w:t>all relevant financial relationships.</w:t>
      </w:r>
    </w:p>
    <w:p w14:paraId="54654FF8" w14:textId="23F882B6" w:rsidR="006C6515" w:rsidRDefault="006C6515" w:rsidP="006C6515">
      <w:pPr>
        <w:rPr>
          <w:sz w:val="20"/>
          <w:szCs w:val="20"/>
        </w:rPr>
      </w:pPr>
    </w:p>
    <w:p w14:paraId="590F9F9C" w14:textId="77777777" w:rsidR="00804E10" w:rsidRPr="00804E10" w:rsidRDefault="00804E10" w:rsidP="00804E10">
      <w:pPr>
        <w:rPr>
          <w:sz w:val="20"/>
          <w:szCs w:val="20"/>
        </w:rPr>
      </w:pPr>
      <w:r w:rsidRPr="00804E10">
        <w:rPr>
          <w:sz w:val="20"/>
          <w:szCs w:val="20"/>
        </w:rPr>
        <w:t>None of the planners for this educational activity have relevant financial relationships to disclose with ineligible companies.</w:t>
      </w:r>
    </w:p>
    <w:p w14:paraId="74C7CFF0" w14:textId="7FF5E515" w:rsidR="005C7527" w:rsidRDefault="005C7527" w:rsidP="00804E10">
      <w:pPr>
        <w:rPr>
          <w:sz w:val="20"/>
          <w:szCs w:val="20"/>
        </w:rPr>
      </w:pPr>
      <w:r>
        <w:rPr>
          <w:sz w:val="20"/>
          <w:szCs w:val="20"/>
        </w:rPr>
        <w:t>Dr. Christie, faculty for this educational event, has disclosed Abbott, Wellness Ambassador</w:t>
      </w:r>
    </w:p>
    <w:p w14:paraId="748B2A95" w14:textId="49A57DA7" w:rsidR="005C7527" w:rsidRPr="00804E10" w:rsidRDefault="005C7527" w:rsidP="00804E10">
      <w:pPr>
        <w:rPr>
          <w:sz w:val="20"/>
          <w:szCs w:val="20"/>
        </w:rPr>
      </w:pPr>
      <w:r>
        <w:rPr>
          <w:sz w:val="20"/>
          <w:szCs w:val="20"/>
        </w:rPr>
        <w:t>Dr. Crouch, faculty for this educational event, has disclosed Hologic/Speaker, Honoraria</w:t>
      </w:r>
    </w:p>
    <w:p w14:paraId="1E303CAE" w14:textId="77777777" w:rsidR="00FD7EF5" w:rsidRDefault="00FD7EF5" w:rsidP="00804E10">
      <w:pPr>
        <w:rPr>
          <w:b/>
          <w:bCs/>
          <w:sz w:val="20"/>
          <w:szCs w:val="20"/>
        </w:rPr>
      </w:pPr>
    </w:p>
    <w:p w14:paraId="0FBB4B6C" w14:textId="34F460BF" w:rsidR="006C6515" w:rsidRPr="005C7527" w:rsidRDefault="00804E10" w:rsidP="00804E10">
      <w:pPr>
        <w:rPr>
          <w:b/>
          <w:bCs/>
          <w:sz w:val="20"/>
          <w:szCs w:val="20"/>
        </w:rPr>
      </w:pPr>
      <w:proofErr w:type="gramStart"/>
      <w:r w:rsidRPr="005C7527">
        <w:rPr>
          <w:b/>
          <w:bCs/>
          <w:sz w:val="20"/>
          <w:szCs w:val="20"/>
        </w:rPr>
        <w:t>All of</w:t>
      </w:r>
      <w:proofErr w:type="gramEnd"/>
      <w:r w:rsidRPr="005C7527">
        <w:rPr>
          <w:b/>
          <w:bCs/>
          <w:sz w:val="20"/>
          <w:szCs w:val="20"/>
        </w:rPr>
        <w:t xml:space="preserve"> the relevant financial relationships listed have been mitigated.</w:t>
      </w:r>
    </w:p>
    <w:p w14:paraId="2A9E1D70" w14:textId="0EDC2157" w:rsidR="009034C3" w:rsidRDefault="009034C3" w:rsidP="006C651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070"/>
        <w:gridCol w:w="2875"/>
      </w:tblGrid>
      <w:tr w:rsidR="009034C3" w14:paraId="33C1407F" w14:textId="77777777" w:rsidTr="003D6924">
        <w:tc>
          <w:tcPr>
            <w:tcW w:w="5845" w:type="dxa"/>
            <w:shd w:val="clear" w:color="auto" w:fill="B4C6E7" w:themeFill="accent1" w:themeFillTint="66"/>
          </w:tcPr>
          <w:p w14:paraId="5C570A75" w14:textId="466FA7BF" w:rsidR="009034C3" w:rsidRPr="003D6924" w:rsidRDefault="009034C3" w:rsidP="009034C3">
            <w:pPr>
              <w:rPr>
                <w:sz w:val="20"/>
                <w:szCs w:val="20"/>
              </w:rPr>
            </w:pPr>
            <w:r w:rsidRPr="003D6924">
              <w:rPr>
                <w:rFonts w:cstheme="minorHAnsi"/>
                <w:b/>
                <w:bCs/>
                <w:sz w:val="20"/>
                <w:szCs w:val="20"/>
              </w:rPr>
              <w:t xml:space="preserve">Relevant </w:t>
            </w:r>
            <w:r w:rsidR="001040E2" w:rsidRPr="003D6924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3D6924">
              <w:rPr>
                <w:rFonts w:cstheme="minorHAnsi"/>
                <w:b/>
                <w:bCs/>
                <w:sz w:val="20"/>
                <w:szCs w:val="20"/>
              </w:rPr>
              <w:t xml:space="preserve">inancial </w:t>
            </w:r>
            <w:r w:rsidR="001040E2" w:rsidRPr="003D6924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3D6924">
              <w:rPr>
                <w:rFonts w:cstheme="minorHAnsi"/>
                <w:b/>
                <w:bCs/>
                <w:sz w:val="20"/>
                <w:szCs w:val="20"/>
              </w:rPr>
              <w:t>elationship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12391F65" w14:textId="462D1E34" w:rsidR="009034C3" w:rsidRDefault="009034C3" w:rsidP="009034C3">
            <w:pPr>
              <w:pStyle w:val="TableParagraph"/>
              <w:spacing w:before="68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FA1C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eligible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FA1C37">
              <w:rPr>
                <w:rFonts w:asciiTheme="minorHAnsi" w:hAnsiTheme="minorHAnsi" w:cstheme="minorHAnsi"/>
                <w:b/>
                <w:sz w:val="20"/>
                <w:szCs w:val="20"/>
              </w:rPr>
              <w:t>ompany</w:t>
            </w:r>
            <w:r w:rsidRPr="00FA1C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shd w:val="clear" w:color="auto" w:fill="F7CAAC" w:themeFill="accent2" w:themeFillTint="66"/>
          </w:tcPr>
          <w:p w14:paraId="347626F4" w14:textId="3C81DFF4" w:rsidR="009034C3" w:rsidRPr="009034C3" w:rsidRDefault="009034C3" w:rsidP="009034C3">
            <w:pPr>
              <w:rPr>
                <w:b/>
                <w:bCs/>
                <w:sz w:val="20"/>
                <w:szCs w:val="20"/>
              </w:rPr>
            </w:pPr>
            <w:r w:rsidRPr="006C6515">
              <w:rPr>
                <w:b/>
                <w:bCs/>
                <w:sz w:val="20"/>
                <w:szCs w:val="20"/>
              </w:rPr>
              <w:t>Off-Label Use of Products</w:t>
            </w:r>
          </w:p>
        </w:tc>
      </w:tr>
      <w:tr w:rsidR="009034C3" w14:paraId="453AC7D8" w14:textId="77777777" w:rsidTr="003D6924">
        <w:tc>
          <w:tcPr>
            <w:tcW w:w="5845" w:type="dxa"/>
            <w:shd w:val="clear" w:color="auto" w:fill="B4C6E7" w:themeFill="accent1" w:themeFillTint="66"/>
          </w:tcPr>
          <w:p w14:paraId="479FAE2D" w14:textId="77777777" w:rsidR="009034C3" w:rsidRPr="003D6924" w:rsidRDefault="009034C3" w:rsidP="009034C3">
            <w:pPr>
              <w:rPr>
                <w:sz w:val="20"/>
                <w:szCs w:val="20"/>
              </w:rPr>
            </w:pPr>
            <w:r w:rsidRPr="003D6924">
              <w:rPr>
                <w:sz w:val="20"/>
                <w:szCs w:val="20"/>
              </w:rPr>
              <w:t>Financial relationships are relevant if the following three conditions are met for the prospective person who will control content of the education.</w:t>
            </w:r>
          </w:p>
          <w:p w14:paraId="53E9D348" w14:textId="4A3BE2DD" w:rsidR="009034C3" w:rsidRPr="003D6924" w:rsidRDefault="001040E2" w:rsidP="001040E2">
            <w:pPr>
              <w:rPr>
                <w:sz w:val="20"/>
                <w:szCs w:val="20"/>
              </w:rPr>
            </w:pPr>
            <w:r w:rsidRPr="003D6924">
              <w:rPr>
                <w:sz w:val="20"/>
                <w:szCs w:val="20"/>
              </w:rPr>
              <w:t xml:space="preserve">1. </w:t>
            </w:r>
            <w:r w:rsidR="009034C3" w:rsidRPr="003D6924">
              <w:rPr>
                <w:sz w:val="20"/>
                <w:szCs w:val="20"/>
              </w:rPr>
              <w:t>A financial relationship, in any amount, exists between the person in control of content and an ineligible company.</w:t>
            </w:r>
          </w:p>
          <w:p w14:paraId="4C5B5051" w14:textId="1824D1F3" w:rsidR="009034C3" w:rsidRPr="003D6924" w:rsidRDefault="001040E2" w:rsidP="009034C3">
            <w:pPr>
              <w:rPr>
                <w:rFonts w:cs="Arial-BoldMT"/>
                <w:b/>
                <w:bCs/>
                <w:sz w:val="20"/>
                <w:szCs w:val="20"/>
              </w:rPr>
            </w:pPr>
            <w:r w:rsidRPr="003D6924">
              <w:rPr>
                <w:rFonts w:cs="ArialMT"/>
                <w:sz w:val="20"/>
                <w:szCs w:val="20"/>
              </w:rPr>
              <w:t xml:space="preserve">2. </w:t>
            </w:r>
            <w:r w:rsidR="009034C3" w:rsidRPr="003D6924">
              <w:rPr>
                <w:rFonts w:cs="ArialMT"/>
                <w:sz w:val="20"/>
                <w:szCs w:val="20"/>
              </w:rPr>
              <w:t xml:space="preserve">The financial relationship existed during the past </w:t>
            </w:r>
            <w:r w:rsidR="009034C3" w:rsidRPr="003D6924">
              <w:rPr>
                <w:rFonts w:cs="Arial-BoldMT"/>
                <w:b/>
                <w:bCs/>
                <w:sz w:val="20"/>
                <w:szCs w:val="20"/>
              </w:rPr>
              <w:t>24 months.</w:t>
            </w:r>
          </w:p>
          <w:p w14:paraId="72965712" w14:textId="71BE8057" w:rsidR="009034C3" w:rsidRPr="003D6924" w:rsidRDefault="001040E2" w:rsidP="00903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924">
              <w:rPr>
                <w:sz w:val="20"/>
                <w:szCs w:val="20"/>
              </w:rPr>
              <w:t xml:space="preserve">3. </w:t>
            </w:r>
            <w:r w:rsidR="009034C3" w:rsidRPr="003D6924">
              <w:rPr>
                <w:sz w:val="20"/>
                <w:szCs w:val="20"/>
              </w:rPr>
              <w:t>Content of the education is related to the products of an ineligible company with whom the person has a financial relationship.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0C974FC5" w14:textId="4B0A3225" w:rsidR="009034C3" w:rsidRDefault="009034C3" w:rsidP="009034C3">
            <w:pPr>
              <w:pStyle w:val="TableParagraph"/>
              <w:spacing w:before="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C37">
              <w:rPr>
                <w:rFonts w:asciiTheme="minorHAnsi" w:hAnsiTheme="minorHAnsi" w:cstheme="minorHAnsi"/>
                <w:bCs/>
                <w:sz w:val="20"/>
                <w:szCs w:val="20"/>
              </w:rPr>
              <w:t>is any entity whose primary business is producing, marketing, selling, re-selling, or distributing healthcare products used by or on patients.</w:t>
            </w:r>
          </w:p>
        </w:tc>
        <w:tc>
          <w:tcPr>
            <w:tcW w:w="2875" w:type="dxa"/>
            <w:shd w:val="clear" w:color="auto" w:fill="F7CAAC" w:themeFill="accent2" w:themeFillTint="66"/>
          </w:tcPr>
          <w:p w14:paraId="23DBE05B" w14:textId="613293D9" w:rsidR="009034C3" w:rsidRPr="006C6515" w:rsidRDefault="009034C3" w:rsidP="001040E2">
            <w:pPr>
              <w:rPr>
                <w:b/>
                <w:bCs/>
                <w:sz w:val="20"/>
                <w:szCs w:val="20"/>
              </w:rPr>
            </w:pPr>
            <w:r w:rsidRPr="006C6515">
              <w:rPr>
                <w:sz w:val="20"/>
                <w:szCs w:val="20"/>
              </w:rPr>
              <w:t xml:space="preserve">Faculty are asked to inform the audience when they are discussing the use of a product (medication, device, etc.) other than for which it was approved by the Food and Drug Administration.  </w:t>
            </w:r>
          </w:p>
        </w:tc>
      </w:tr>
    </w:tbl>
    <w:p w14:paraId="2DF7BD4E" w14:textId="77777777" w:rsidR="009034C3" w:rsidRPr="006C6515" w:rsidRDefault="009034C3" w:rsidP="006C6515">
      <w:pPr>
        <w:rPr>
          <w:sz w:val="20"/>
          <w:szCs w:val="20"/>
        </w:rPr>
      </w:pPr>
    </w:p>
    <w:p w14:paraId="179598E8" w14:textId="77777777" w:rsidR="006C6515" w:rsidRPr="006C6515" w:rsidRDefault="006C6515" w:rsidP="006C6515">
      <w:pPr>
        <w:rPr>
          <w:b/>
          <w:bCs/>
          <w:sz w:val="20"/>
          <w:szCs w:val="20"/>
        </w:rPr>
      </w:pPr>
      <w:r w:rsidRPr="006C6515">
        <w:rPr>
          <w:b/>
          <w:bCs/>
          <w:sz w:val="20"/>
          <w:szCs w:val="20"/>
        </w:rPr>
        <w:t>Criteria for Verifying Participation in this CE Activity</w:t>
      </w:r>
    </w:p>
    <w:p w14:paraId="67453A0C" w14:textId="521DE183" w:rsidR="006C6515" w:rsidRDefault="006C6515" w:rsidP="006C6515">
      <w:pPr>
        <w:rPr>
          <w:sz w:val="20"/>
          <w:szCs w:val="20"/>
        </w:rPr>
      </w:pPr>
      <w:r w:rsidRPr="006C6515">
        <w:rPr>
          <w:sz w:val="20"/>
          <w:szCs w:val="20"/>
        </w:rPr>
        <w:t xml:space="preserve">Participants are required to sign-in for this CE activity to verify their participation in the educational program. </w:t>
      </w:r>
    </w:p>
    <w:p w14:paraId="65D0D797" w14:textId="77777777" w:rsidR="006C6515" w:rsidRPr="006C6515" w:rsidRDefault="006C6515" w:rsidP="006C6515">
      <w:pPr>
        <w:rPr>
          <w:b/>
          <w:bCs/>
          <w:sz w:val="20"/>
          <w:szCs w:val="20"/>
        </w:rPr>
      </w:pPr>
      <w:r w:rsidRPr="006C6515">
        <w:rPr>
          <w:b/>
          <w:bCs/>
          <w:sz w:val="20"/>
          <w:szCs w:val="20"/>
        </w:rPr>
        <w:t xml:space="preserve">Criteria for Successful Completion of this CE Activity </w:t>
      </w:r>
    </w:p>
    <w:p w14:paraId="70E3E2C2" w14:textId="302E4C27" w:rsidR="006C6515" w:rsidRDefault="006C6515" w:rsidP="006C6515">
      <w:pPr>
        <w:rPr>
          <w:sz w:val="20"/>
          <w:szCs w:val="20"/>
        </w:rPr>
      </w:pPr>
      <w:r w:rsidRPr="006C6515">
        <w:rPr>
          <w:sz w:val="20"/>
          <w:szCs w:val="20"/>
        </w:rPr>
        <w:t xml:space="preserve">Registration, attendance, sign-in and submission of the online evaluation are required for CE certificate of attendance. Claim only those hours you attend. Evaluation instructions will be emailed, utilizing your registered email profile. </w:t>
      </w:r>
    </w:p>
    <w:p w14:paraId="362FA8FA" w14:textId="1588577D" w:rsidR="006C6515" w:rsidRDefault="006C6515" w:rsidP="006C6515">
      <w:pPr>
        <w:rPr>
          <w:sz w:val="20"/>
          <w:szCs w:val="20"/>
        </w:rPr>
      </w:pPr>
    </w:p>
    <w:p w14:paraId="0FC9A266" w14:textId="77777777" w:rsidR="003D6924" w:rsidRPr="006C6515" w:rsidRDefault="003D6924" w:rsidP="003D6924">
      <w:pPr>
        <w:rPr>
          <w:sz w:val="20"/>
          <w:szCs w:val="20"/>
        </w:rPr>
      </w:pPr>
      <w:r w:rsidRPr="006C6515">
        <w:rPr>
          <w:sz w:val="20"/>
          <w:szCs w:val="20"/>
        </w:rPr>
        <w:t>* Children's Hospital Colorado is accredited by the Accreditation Council for Continuing Medical Education (ACCME) to provide continuing medical education for physicians.</w:t>
      </w:r>
    </w:p>
    <w:p w14:paraId="2CC109A7" w14:textId="53A74E4E" w:rsidR="003D6924" w:rsidRDefault="003D6924" w:rsidP="003D6924">
      <w:pPr>
        <w:rPr>
          <w:sz w:val="20"/>
          <w:szCs w:val="20"/>
          <w:u w:val="single"/>
        </w:rPr>
      </w:pPr>
      <w:r w:rsidRPr="006C6515">
        <w:rPr>
          <w:sz w:val="20"/>
          <w:szCs w:val="20"/>
        </w:rPr>
        <w:t xml:space="preserve">+ Children's Hospital Colorado is approved as a provider of nursing continuing professional development by Colorado Nurses Association, an accredited approver by the American Nurses Credentialing Center's Commission on Accreditation.  </w:t>
      </w:r>
    </w:p>
    <w:p w14:paraId="316BCDF9" w14:textId="77777777" w:rsidR="003D6924" w:rsidRPr="00F145A9" w:rsidRDefault="003D6924" w:rsidP="001F54D7">
      <w:pPr>
        <w:pStyle w:val="BodyText"/>
        <w:spacing w:before="8" w:line="247" w:lineRule="auto"/>
        <w:ind w:left="519" w:right="107"/>
        <w:jc w:val="center"/>
      </w:pPr>
    </w:p>
    <w:sectPr w:rsidR="003D6924" w:rsidRPr="00F145A9" w:rsidSect="002E6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67D2D"/>
    <w:multiLevelType w:val="hybridMultilevel"/>
    <w:tmpl w:val="BBF2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F65A1"/>
    <w:multiLevelType w:val="hybridMultilevel"/>
    <w:tmpl w:val="9CFA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E"/>
    <w:rsid w:val="000303E1"/>
    <w:rsid w:val="000D1AF0"/>
    <w:rsid w:val="000D5C1C"/>
    <w:rsid w:val="000F61B4"/>
    <w:rsid w:val="001040E2"/>
    <w:rsid w:val="001A7AF4"/>
    <w:rsid w:val="001E38DC"/>
    <w:rsid w:val="001F54D7"/>
    <w:rsid w:val="002E6C1E"/>
    <w:rsid w:val="00391F0B"/>
    <w:rsid w:val="003D6924"/>
    <w:rsid w:val="00434C8A"/>
    <w:rsid w:val="00480267"/>
    <w:rsid w:val="00497AA9"/>
    <w:rsid w:val="004A1476"/>
    <w:rsid w:val="005C7527"/>
    <w:rsid w:val="006060D8"/>
    <w:rsid w:val="006C6515"/>
    <w:rsid w:val="00704A1A"/>
    <w:rsid w:val="007343D5"/>
    <w:rsid w:val="00762674"/>
    <w:rsid w:val="007B1B77"/>
    <w:rsid w:val="00804E10"/>
    <w:rsid w:val="009034C3"/>
    <w:rsid w:val="00945853"/>
    <w:rsid w:val="00A6084B"/>
    <w:rsid w:val="00A97870"/>
    <w:rsid w:val="00B76583"/>
    <w:rsid w:val="00C02259"/>
    <w:rsid w:val="00C37028"/>
    <w:rsid w:val="00C60530"/>
    <w:rsid w:val="00D73551"/>
    <w:rsid w:val="00E010A8"/>
    <w:rsid w:val="00E23DB3"/>
    <w:rsid w:val="00F145A9"/>
    <w:rsid w:val="00FA1C37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BF1C"/>
  <w15:chartTrackingRefBased/>
  <w15:docId w15:val="{FC81F26E-C598-4A5B-A0EE-1FF1D5A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6C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E6C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C1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0225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2259"/>
    <w:rPr>
      <w:rFonts w:ascii="Trebuchet MS" w:eastAsia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AEDC558794A4DAFAC66DBAD80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C13-CA5D-4CE5-B41C-F0DA88481FC2}"/>
      </w:docPartPr>
      <w:docPartBody>
        <w:p w:rsidR="00DD0D9F" w:rsidRDefault="00975371" w:rsidP="00975371">
          <w:pPr>
            <w:pStyle w:val="FB2AEDC558794A4DAFAC66DBAD808408"/>
          </w:pPr>
          <w:r w:rsidRPr="008A65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6"/>
    <w:rsid w:val="002E17D6"/>
    <w:rsid w:val="00975371"/>
    <w:rsid w:val="00BE01C7"/>
    <w:rsid w:val="00D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371"/>
    <w:rPr>
      <w:color w:val="808080"/>
    </w:rPr>
  </w:style>
  <w:style w:type="paragraph" w:customStyle="1" w:styleId="FB2AEDC558794A4DAFAC66DBAD808408">
    <w:name w:val="FB2AEDC558794A4DAFAC66DBAD808408"/>
    <w:rsid w:val="00975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Ayon, Shaun</dc:creator>
  <cp:keywords/>
  <dc:description/>
  <cp:lastModifiedBy>Ayon, Shaun</cp:lastModifiedBy>
  <cp:revision>4</cp:revision>
  <dcterms:created xsi:type="dcterms:W3CDTF">2022-05-27T15:10:00Z</dcterms:created>
  <dcterms:modified xsi:type="dcterms:W3CDTF">2022-06-10T17:32:00Z</dcterms:modified>
</cp:coreProperties>
</file>